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E3309" w14:textId="77777777" w:rsidR="00B8712D" w:rsidRDefault="00B8712D">
      <w:pPr>
        <w:spacing w:before="0" w:line="680" w:lineRule="auto"/>
        <w:ind w:left="1840" w:right="2000"/>
        <w:jc w:val="center"/>
        <w:rPr>
          <w:color w:val="000000"/>
          <w:sz w:val="28"/>
        </w:rPr>
      </w:pPr>
      <w:r>
        <w:rPr>
          <w:b/>
          <w:bCs/>
          <w:color w:val="000000"/>
          <w:sz w:val="28"/>
        </w:rPr>
        <w:t>ANALIZA OBJĘTOŚCIOWA - alkacymetria</w:t>
      </w:r>
      <w:r>
        <w:rPr>
          <w:color w:val="000000"/>
          <w:sz w:val="28"/>
        </w:rPr>
        <w:t xml:space="preserve"> Zakres materiału obowiązującego do kolokwium.</w:t>
      </w:r>
    </w:p>
    <w:p w14:paraId="2CF8C354" w14:textId="77777777" w:rsidR="00B8712D" w:rsidRDefault="00B8712D">
      <w:pPr>
        <w:spacing w:before="300" w:line="380" w:lineRule="auto"/>
        <w:ind w:left="360" w:hanging="380"/>
        <w:rPr>
          <w:color w:val="000000"/>
          <w:sz w:val="28"/>
        </w:rPr>
      </w:pPr>
      <w:r>
        <w:rPr>
          <w:color w:val="000000"/>
          <w:sz w:val="28"/>
        </w:rPr>
        <w:t>1. Miano roztw</w:t>
      </w:r>
      <w:r w:rsidR="0091788E">
        <w:rPr>
          <w:color w:val="000000"/>
          <w:sz w:val="28"/>
        </w:rPr>
        <w:t>oru, punkt równoważnikowy (PR) i</w:t>
      </w:r>
      <w:r>
        <w:rPr>
          <w:color w:val="000000"/>
          <w:sz w:val="28"/>
        </w:rPr>
        <w:t xml:space="preserve"> punkt końcowy (PK) miareczkowania.</w:t>
      </w:r>
    </w:p>
    <w:p w14:paraId="5E6A25EF" w14:textId="77777777" w:rsidR="00B8712D" w:rsidRDefault="00B8712D">
      <w:pPr>
        <w:ind w:left="360" w:hanging="380"/>
        <w:rPr>
          <w:color w:val="000000"/>
          <w:sz w:val="28"/>
        </w:rPr>
      </w:pPr>
      <w:r>
        <w:rPr>
          <w:color w:val="000000"/>
          <w:sz w:val="28"/>
        </w:rPr>
        <w:t>2. Wskaźniki PK miareczkowania.</w:t>
      </w:r>
    </w:p>
    <w:p w14:paraId="293E3969" w14:textId="77777777" w:rsidR="00B8712D" w:rsidRDefault="00B8712D">
      <w:pPr>
        <w:ind w:left="360" w:hanging="380"/>
        <w:rPr>
          <w:color w:val="000000"/>
          <w:sz w:val="28"/>
        </w:rPr>
      </w:pPr>
      <w:r>
        <w:rPr>
          <w:color w:val="000000"/>
          <w:sz w:val="28"/>
        </w:rPr>
        <w:t>3. Technika analizy miareczkowej :</w:t>
      </w:r>
    </w:p>
    <w:p w14:paraId="532D4716" w14:textId="77777777" w:rsidR="00B8712D" w:rsidRDefault="00B8712D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a) naczynia miarowe, użytkowanie kolb miarowych i pipet</w:t>
      </w:r>
    </w:p>
    <w:p w14:paraId="0B0CFDF2" w14:textId="77777777" w:rsidR="00B8712D" w:rsidRDefault="00B8712D">
      <w:pPr>
        <w:spacing w:before="80"/>
        <w:ind w:left="360"/>
        <w:rPr>
          <w:color w:val="000000"/>
          <w:sz w:val="28"/>
        </w:rPr>
      </w:pPr>
      <w:r>
        <w:rPr>
          <w:color w:val="000000"/>
          <w:sz w:val="28"/>
        </w:rPr>
        <w:t>b) odmierzanie objętości do miareczkowania</w:t>
      </w:r>
    </w:p>
    <w:p w14:paraId="0C76F66C" w14:textId="77777777" w:rsidR="00B8712D" w:rsidRDefault="00B8712D">
      <w:pPr>
        <w:ind w:left="360" w:hanging="380"/>
        <w:rPr>
          <w:color w:val="000000"/>
          <w:sz w:val="28"/>
        </w:rPr>
      </w:pPr>
      <w:r>
        <w:rPr>
          <w:color w:val="000000"/>
          <w:sz w:val="28"/>
        </w:rPr>
        <w:t>4. Podstawy teoretyczne miareczkowania alkacymetrycznego:</w:t>
      </w:r>
    </w:p>
    <w:p w14:paraId="4AD847FA" w14:textId="77777777" w:rsidR="00B8712D" w:rsidRDefault="00B8712D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a) reakcje kwas-zasada, teoria protonowa</w:t>
      </w:r>
    </w:p>
    <w:p w14:paraId="664E2B3E" w14:textId="77777777" w:rsidR="00B8712D" w:rsidRDefault="00B8712D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b) miareczkowanie mocnego kwasu mocną zasadą (krzywe miareczkowania)</w:t>
      </w:r>
    </w:p>
    <w:p w14:paraId="5FDDD92A" w14:textId="77777777" w:rsidR="00B8712D" w:rsidRDefault="00B8712D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c) miareczkowanie słabego kwasu mocną zasadą (krzywe miareczkowania)</w:t>
      </w:r>
    </w:p>
    <w:p w14:paraId="5CE112D2" w14:textId="77777777" w:rsidR="00B8712D" w:rsidRDefault="00B8712D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d) miareczkowanie wieloprotonowych kwasów (zasad) oraz ich mieszanin</w:t>
      </w:r>
    </w:p>
    <w:p w14:paraId="419BF814" w14:textId="77777777" w:rsidR="00B8712D" w:rsidRDefault="00B8712D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e) wpływ węglanów na miareczkowanie alkacymetryczne</w:t>
      </w:r>
    </w:p>
    <w:p w14:paraId="1788DF6D" w14:textId="77777777" w:rsidR="00B8712D" w:rsidRDefault="00B8712D">
      <w:pPr>
        <w:ind w:left="360" w:hanging="380"/>
        <w:rPr>
          <w:color w:val="000000"/>
          <w:sz w:val="28"/>
        </w:rPr>
      </w:pPr>
      <w:r>
        <w:rPr>
          <w:color w:val="000000"/>
          <w:sz w:val="28"/>
        </w:rPr>
        <w:t>5. Przygotow</w:t>
      </w:r>
      <w:r w:rsidR="008167FB">
        <w:rPr>
          <w:color w:val="000000"/>
          <w:sz w:val="28"/>
        </w:rPr>
        <w:t>anie roztworów mianowanych</w:t>
      </w:r>
      <w:r>
        <w:rPr>
          <w:color w:val="000000"/>
          <w:sz w:val="28"/>
        </w:rPr>
        <w:t>:</w:t>
      </w:r>
    </w:p>
    <w:p w14:paraId="78F00900" w14:textId="77777777" w:rsidR="00B8712D" w:rsidRDefault="00B8712D">
      <w:pPr>
        <w:ind w:left="80" w:firstLine="280"/>
        <w:rPr>
          <w:color w:val="000000"/>
          <w:sz w:val="28"/>
        </w:rPr>
      </w:pPr>
      <w:r>
        <w:rPr>
          <w:color w:val="000000"/>
          <w:sz w:val="28"/>
        </w:rPr>
        <w:t>- mianowany roztwór wodorotlenku sodowego</w:t>
      </w:r>
    </w:p>
    <w:p w14:paraId="2B962BE1" w14:textId="77777777" w:rsidR="00B8712D" w:rsidRDefault="00B8712D">
      <w:pPr>
        <w:ind w:left="360" w:hanging="380"/>
        <w:rPr>
          <w:color w:val="000000"/>
          <w:sz w:val="28"/>
        </w:rPr>
      </w:pPr>
      <w:r>
        <w:rPr>
          <w:color w:val="000000"/>
          <w:sz w:val="28"/>
        </w:rPr>
        <w:t>6. Oznaczenia alkacymetryczne :</w:t>
      </w:r>
    </w:p>
    <w:p w14:paraId="3B1E195A" w14:textId="77777777" w:rsidR="00B8712D" w:rsidRDefault="00B8712D">
      <w:pPr>
        <w:ind w:left="80" w:firstLine="280"/>
        <w:rPr>
          <w:color w:val="000000"/>
          <w:sz w:val="28"/>
          <w:vertAlign w:val="subscript"/>
        </w:rPr>
      </w:pPr>
      <w:r>
        <w:rPr>
          <w:color w:val="000000"/>
          <w:sz w:val="28"/>
        </w:rPr>
        <w:t>- oznaczanie H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>S</w:t>
      </w:r>
      <w:r w:rsidR="008167FB">
        <w:rPr>
          <w:color w:val="000000"/>
          <w:sz w:val="28"/>
        </w:rPr>
        <w:t>O</w:t>
      </w:r>
      <w:r>
        <w:rPr>
          <w:color w:val="000000"/>
          <w:sz w:val="28"/>
          <w:vertAlign w:val="subscript"/>
        </w:rPr>
        <w:t>4</w:t>
      </w:r>
    </w:p>
    <w:p w14:paraId="0CBF5788" w14:textId="77777777" w:rsidR="00B8712D" w:rsidRDefault="00B8712D">
      <w:pPr>
        <w:ind w:left="360" w:hanging="380"/>
        <w:rPr>
          <w:color w:val="000000"/>
          <w:sz w:val="28"/>
        </w:rPr>
      </w:pPr>
      <w:r>
        <w:rPr>
          <w:color w:val="000000"/>
          <w:sz w:val="28"/>
        </w:rPr>
        <w:t>7. Obliczenia rachunkowe z alkacymetrii.</w:t>
      </w:r>
    </w:p>
    <w:p w14:paraId="238DBAF9" w14:textId="77777777" w:rsidR="00B8712D" w:rsidRDefault="00B8712D">
      <w:pPr>
        <w:pStyle w:val="FR1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Literatura</w:t>
      </w:r>
    </w:p>
    <w:p w14:paraId="0F4AAFA3" w14:textId="77777777" w:rsidR="00B8712D" w:rsidRDefault="00B8712D">
      <w:pPr>
        <w:spacing w:before="420"/>
        <w:ind w:left="520" w:hanging="380"/>
        <w:rPr>
          <w:color w:val="000000"/>
          <w:sz w:val="28"/>
        </w:rPr>
      </w:pPr>
      <w:r>
        <w:rPr>
          <w:color w:val="000000"/>
          <w:sz w:val="28"/>
        </w:rPr>
        <w:t xml:space="preserve">1. J. </w:t>
      </w:r>
      <w:proofErr w:type="spellStart"/>
      <w:r>
        <w:rPr>
          <w:color w:val="000000"/>
          <w:sz w:val="28"/>
        </w:rPr>
        <w:t>Minczewski</w:t>
      </w:r>
      <w:proofErr w:type="spellEnd"/>
      <w:r>
        <w:rPr>
          <w:color w:val="000000"/>
          <w:sz w:val="28"/>
        </w:rPr>
        <w:t xml:space="preserve">, Z. </w:t>
      </w:r>
      <w:proofErr w:type="spellStart"/>
      <w:r>
        <w:rPr>
          <w:color w:val="000000"/>
          <w:sz w:val="28"/>
        </w:rPr>
        <w:t>Marczenko</w:t>
      </w:r>
      <w:proofErr w:type="spellEnd"/>
      <w:r>
        <w:rPr>
          <w:color w:val="000000"/>
          <w:sz w:val="28"/>
        </w:rPr>
        <w:t xml:space="preserve">, Chemia analityczna </w:t>
      </w:r>
      <w:proofErr w:type="spellStart"/>
      <w:r>
        <w:rPr>
          <w:color w:val="000000"/>
          <w:sz w:val="28"/>
        </w:rPr>
        <w:t>t.II</w:t>
      </w:r>
      <w:proofErr w:type="spellEnd"/>
      <w:r>
        <w:rPr>
          <w:color w:val="000000"/>
          <w:sz w:val="28"/>
        </w:rPr>
        <w:t>, WNT, Warszawa 1985.</w:t>
      </w:r>
    </w:p>
    <w:p w14:paraId="30BE9906" w14:textId="0F06AF18" w:rsidR="00B8712D" w:rsidRDefault="00B8712D">
      <w:pPr>
        <w:spacing w:before="0" w:line="340" w:lineRule="auto"/>
        <w:ind w:left="520" w:hanging="380"/>
        <w:rPr>
          <w:color w:val="000000"/>
          <w:sz w:val="28"/>
        </w:rPr>
      </w:pPr>
      <w:r>
        <w:rPr>
          <w:color w:val="000000"/>
          <w:sz w:val="28"/>
        </w:rPr>
        <w:t>2. Ćwiczenia rachunkowe z chemii</w:t>
      </w:r>
      <w:r w:rsidR="00C15FA5">
        <w:rPr>
          <w:color w:val="000000"/>
          <w:sz w:val="28"/>
        </w:rPr>
        <w:t xml:space="preserve"> analitycznej, pod redakcją Z. Gal</w:t>
      </w:r>
      <w:r>
        <w:rPr>
          <w:color w:val="000000"/>
          <w:sz w:val="28"/>
        </w:rPr>
        <w:t>usa, PWN.</w:t>
      </w:r>
    </w:p>
    <w:sectPr w:rsidR="00B8712D">
      <w:type w:val="continuous"/>
      <w:pgSz w:w="11900" w:h="16820"/>
      <w:pgMar w:top="1440" w:right="1060" w:bottom="720" w:left="106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A5"/>
    <w:rsid w:val="0041510A"/>
    <w:rsid w:val="008167FB"/>
    <w:rsid w:val="0091788E"/>
    <w:rsid w:val="00B8712D"/>
    <w:rsid w:val="00C1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C6F63"/>
  <w15:chartTrackingRefBased/>
  <w15:docId w15:val="{6AC29A37-5AFD-49BC-ACD2-AC52DCF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before="100"/>
      <w:ind w:left="40"/>
    </w:pPr>
    <w:rPr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440"/>
      <w:ind w:left="40"/>
    </w:pPr>
    <w:rPr>
      <w:rFonts w:ascii="Arial" w:hAnsi="Arial" w:cs="Arial"/>
      <w:b/>
      <w:bCs/>
    </w:rPr>
  </w:style>
  <w:style w:type="paragraph" w:styleId="Tekstblokowy">
    <w:name w:val="Block Text"/>
    <w:basedOn w:val="Normalny"/>
    <w:semiHidden/>
    <w:pPr>
      <w:spacing w:before="0" w:line="680" w:lineRule="auto"/>
      <w:ind w:left="1840" w:right="2000"/>
      <w:jc w:val="center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KChNiA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Pusz</dc:creator>
  <cp:keywords/>
  <dc:description/>
  <cp:lastModifiedBy>Anna Kuźniar</cp:lastModifiedBy>
  <cp:revision>2</cp:revision>
  <cp:lastPrinted>1601-01-01T00:00:00Z</cp:lastPrinted>
  <dcterms:created xsi:type="dcterms:W3CDTF">2021-10-01T19:26:00Z</dcterms:created>
  <dcterms:modified xsi:type="dcterms:W3CDTF">2021-10-01T19:26:00Z</dcterms:modified>
</cp:coreProperties>
</file>